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3000"/>
      <w:bookmarkStart w:id="24" w:name="_GoBack"/>
      <w:r>
        <w:rPr>
          <w:rFonts w:hint="default"/>
          <w:b/>
          <w:color w:val="26282F"/>
          <w:sz w:val="24"/>
          <w:szCs w:val="24"/>
        </w:rPr>
        <w:t>Приложение N 3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на объектах проживания людей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 на  объектах проживания людей (далее - проверочный лист), применяется в ходе плановых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проверок, проводимых  в  отношении  объектов  для  проживания людей, подлежащих федеральному государственному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пожарному  надзору, при осуществлении  контроля  за  соблюдением  требований  пожарной безопасности, вместе с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другими  формами   листов, необходимость   применения   которых   определяется   назначением   объектов   или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осуществляемыми  на  них  действиями. Количество и наименование  объектов защиты принимается в соответствии с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распоряжением  о  проведении  проверки, количество  столбцов  принимается с учетом количества объектов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1" w:name="sub_3001"/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0070036"/>
      <w:r>
        <w:rPr>
          <w:rFonts w:hint="default"/>
          <w:sz w:val="22"/>
          <w:szCs w:val="24"/>
        </w:rPr>
        <w:t xml:space="preserve">    1. Наименование органа государственного контроля (надзора): ____________________________________________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3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3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3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3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3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8" w:name="sub_3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8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980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9" w:name="sub_30071"/>
            <w:r>
              <w:t>N</w:t>
            </w:r>
            <w:bookmarkEnd w:id="9"/>
          </w:p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0" w:name="sub_300701"/>
            <w:r>
              <w:t>1.</w:t>
            </w:r>
            <w:bookmarkEnd w:id="10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Ознакомлены ли (под подпись) прибывшие в гостиницу, мотель, общежитие и другие здания, приспособленные для временного пребывания людей, лица, ответственные за обеспечение пожарной безопасности, физические лица с мерами пожарной безопасности?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"http://ivo.garant.ru/document/redirect/74680206/1084"</w:instrText>
            </w:r>
            <w:r>
              <w:fldChar w:fldCharType="separate"/>
            </w:r>
            <w:r>
              <w:t>Пункт 84</w:t>
            </w:r>
            <w:r>
              <w:fldChar w:fldCharType="end"/>
            </w:r>
            <w:r>
              <w:t xml:space="preserve"> Правил противопожарного режима в Российской Федерации, утвержденных </w:t>
            </w:r>
            <w:r>
              <w:fldChar w:fldCharType="begin"/>
            </w:r>
            <w:r>
              <w:instrText xml:space="preserve">HYPERLINK "http://ivo.garant.ru/document/redirect/74680206/0"</w:instrText>
            </w:r>
            <w:r>
              <w:fldChar w:fldCharType="separate"/>
            </w:r>
            <w:r>
              <w:t>постановлением</w:t>
            </w:r>
            <w:r>
              <w:fldChar w:fldCharType="end"/>
            </w:r>
            <w: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1" w:name="sub_300702"/>
            <w:r>
              <w:t>2.</w:t>
            </w:r>
            <w:bookmarkEnd w:id="11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Вывешены ли в номерах и на этажах гостиниц, мотелей, общежитий и других зданий, приспособленных для временного пребывания людей, планы эвакуации на случай пожара?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"http://ivo.garant.ru/document/redirect/74680206/1084"</w:instrText>
            </w:r>
            <w:r>
              <w:fldChar w:fldCharType="separate"/>
            </w:r>
            <w:r>
              <w:t>Пункт 84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2" w:name="sub_300703"/>
            <w:r>
              <w:t>3.</w:t>
            </w:r>
            <w:bookmarkEnd w:id="12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Выполнены ли 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"http://ivo.garant.ru/document/redirect/74680206/1084"</w:instrText>
            </w:r>
            <w:r>
              <w:fldChar w:fldCharType="separate"/>
            </w:r>
            <w:r>
              <w:t>Пункт 84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3" w:name="sub_300704"/>
            <w:r>
              <w:t>4.</w:t>
            </w:r>
            <w:bookmarkEnd w:id="13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Исключено ли устройство в квартирах, жилых комнатах общежитий и номерах гостиниц производственных и складских помещений для применения и хранения пожаровзрывоопасных и пожароопасных веществ и материалов, а также изменение их функционального назначения?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"http://ivo.garant.ru/document/redirect/74680206/1085"</w:instrText>
            </w:r>
            <w:r>
              <w:fldChar w:fldCharType="separate"/>
            </w:r>
            <w:r>
              <w:t>Пункт 85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4" w:name="sub_300705"/>
            <w:r>
              <w:t>5.</w:t>
            </w:r>
            <w:bookmarkEnd w:id="14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Исключено ли использование открытого огня на балконах (лоджиях) квартир, жилых комнат общежитий и номеров гостиниц?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"http://ivo.garant.ru/document/redirect/74680206/1085"</w:instrText>
            </w:r>
            <w:r>
              <w:fldChar w:fldCharType="separate"/>
            </w:r>
            <w:r>
              <w:t>Пункт 85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5" w:name="sub_300706"/>
            <w:r>
              <w:t>6.</w:t>
            </w:r>
            <w:bookmarkEnd w:id="15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Исключено ли нахождение в зданиях для проживания людей без присмотра источников открытого огня (свечи, непотушенная сигарета, керосиновая лампа и др.)?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"http://ivo.garant.ru/document/redirect/74680206/1085"</w:instrText>
            </w:r>
            <w:r>
              <w:fldChar w:fldCharType="separate"/>
            </w:r>
            <w:r>
              <w:t>Пункт 85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6" w:name="sub_300707"/>
            <w:r>
              <w:t>7.</w:t>
            </w:r>
            <w:bookmarkEnd w:id="16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 xml:space="preserve">Исключено ли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</w:t>
            </w:r>
            <w:r>
              <w:fldChar w:fldCharType="begin"/>
            </w:r>
            <w:r>
              <w:instrText xml:space="preserve">HYPERLINK "http://ivo.garant.ru/document/redirect/12161584/32"</w:instrText>
            </w:r>
            <w:r>
              <w:fldChar w:fldCharType="separate"/>
            </w:r>
            <w:r>
              <w:t>Федеральным законом</w:t>
            </w:r>
            <w:r>
              <w:fldChar w:fldCharType="end"/>
            </w:r>
            <w:r>
              <w:t xml:space="preserve"> от 22.07.2008 N 123-ФЗ "Технический регламент о требованиях пожарной безопасности" , на кухнях, путях эвакуации, лестничных клетках, в цокольных и подвальных этажах, на чердаках, балконах, лоджиях и в галереях?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"http://ivo.garant.ru/document/redirect/74680206/1086"</w:instrText>
            </w:r>
            <w:r>
              <w:fldChar w:fldCharType="separate"/>
            </w:r>
            <w:r>
              <w:t>Пункт 86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7" w:name="sub_300708"/>
            <w:r>
              <w:t>8.</w:t>
            </w:r>
            <w:bookmarkEnd w:id="17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Запираются ли пристройки и шкафы для газовых баллонов на замок и имеют ли жалюзи для проветривания, а также предупреждающую надпись "Огнеопасно. Газ"?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"http://ivo.garant.ru/document/redirect/74680206/1086"</w:instrText>
            </w:r>
            <w:r>
              <w:fldChar w:fldCharType="separate"/>
            </w:r>
            <w:r>
              <w:t>Пункт 86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8" w:name="sub_300709"/>
            <w:r>
              <w:t>9.</w:t>
            </w:r>
            <w:bookmarkEnd w:id="18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Размещается ли предупреждающий знак пожарной безопасности с надписью "Огнеопасно. Баллоны с газом" 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"http://ivo.garant.ru/document/redirect/74680206/1086"</w:instrText>
            </w:r>
            <w:r>
              <w:fldChar w:fldCharType="separate"/>
            </w:r>
            <w:r>
              <w:t>Пункт 86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19" w:name="sub_300710"/>
            <w:r>
              <w:t>10.</w:t>
            </w:r>
            <w:bookmarkEnd w:id="19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Исключена ли эксплуатация бытовых газовых приборов при утечке газа?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"http://ivo.garant.ru/document/redirect/74680206/1087"</w:instrText>
            </w:r>
            <w:r>
              <w:fldChar w:fldCharType="separate"/>
            </w:r>
            <w:r>
              <w:t>Пункт 87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20" w:name="sub_300711"/>
            <w:r>
              <w:t>11.</w:t>
            </w:r>
            <w:bookmarkEnd w:id="20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Исключено ли присоединение деталей газовой арматуры с помощью искрообразующего инструмента?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"http://ivo.garant.ru/document/redirect/74680206/1087"</w:instrText>
            </w:r>
            <w:r>
              <w:fldChar w:fldCharType="separate"/>
            </w:r>
            <w:r>
              <w:t>Пункт 87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rPr>
                <w:rFonts w:ascii="Times New Roman CYR;Times New R" w:hAnsi="Times New Roman CYR;Times New R" w:eastAsia="Times New Roman CYR;Times New R" w:cs="Times New Roman"/>
                <w:color w:val="auto"/>
                <w:sz w:val="24"/>
                <w:szCs w:val="24"/>
              </w:rPr>
            </w:pPr>
            <w:bookmarkStart w:id="21" w:name="sub_300712"/>
            <w:r>
              <w:t>12.</w:t>
            </w:r>
            <w:bookmarkEnd w:id="21"/>
          </w:p>
        </w:tc>
        <w:tc>
          <w:tcPr>
            <w:tcW w:w="7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t>Исключена ли проверка герметичности соединений деталей газовой арматуры и (или) газового оборудования с помощью источников открытого огня?</w:t>
            </w:r>
          </w:p>
        </w:tc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bidi w:val="0"/>
            </w:pPr>
            <w:r>
              <w:fldChar w:fldCharType="begin"/>
            </w:r>
            <w:r>
              <w:instrText xml:space="preserve">HYPERLINK "http://ivo.garant.ru/document/redirect/74680206/1087"</w:instrText>
            </w:r>
            <w:r>
              <w:fldChar w:fldCharType="separate"/>
            </w:r>
            <w:r>
              <w:t>Пункт 87</w:t>
            </w:r>
            <w:r>
              <w:fldChar w:fldCharType="end"/>
            </w:r>
            <w:r>
              <w:t xml:space="preserve"> ППР</w:t>
            </w:r>
          </w:p>
        </w:tc>
        <w:tc>
          <w:tcPr>
            <w:tcW w:w="2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2" w:name="sub_3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2"/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3" w:name="sub_30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2008, N 30, ст. 3579; 2012, N 29, ст. 3997.</w:t>
      </w:r>
    </w:p>
    <w:bookmarkEnd w:id="2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bookmarkEnd w:id="24"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11C06F17"/>
    <w:rsid w:val="201E4FA6"/>
    <w:rsid w:val="25DB7153"/>
    <w:rsid w:val="4D3644AE"/>
    <w:rsid w:val="517F1847"/>
    <w:rsid w:val="55507CB3"/>
    <w:rsid w:val="657F5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2021-09-14T10:51:49Z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